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9" w:lineRule="auto" w:before="70"/>
        <w:ind w:left="1650" w:right="1503" w:firstLine="0"/>
        <w:jc w:val="center"/>
        <w:rPr>
          <w:b/>
          <w:sz w:val="22"/>
        </w:rPr>
      </w:pPr>
      <w:r>
        <w:rPr>
          <w:b/>
          <w:color w:val="231F20"/>
          <w:sz w:val="22"/>
        </w:rPr>
        <w:t>THE TAKING CONTROL OF GOODS (FEES) REGULATIONS 2014</w:t>
      </w:r>
    </w:p>
    <w:p>
      <w:pPr>
        <w:pStyle w:val="BodyText"/>
        <w:rPr>
          <w:b/>
          <w:sz w:val="24"/>
        </w:rPr>
      </w:pPr>
    </w:p>
    <w:p>
      <w:pPr>
        <w:spacing w:line="249" w:lineRule="auto" w:before="158"/>
        <w:ind w:left="509" w:right="364" w:firstLine="0"/>
        <w:jc w:val="center"/>
        <w:rPr>
          <w:sz w:val="24"/>
        </w:rPr>
      </w:pPr>
      <w:r>
        <w:rPr>
          <w:b/>
          <w:color w:val="231F20"/>
          <w:spacing w:val="-3"/>
          <w:sz w:val="24"/>
        </w:rPr>
        <w:t>IMPORTANT</w:t>
      </w:r>
      <w:r>
        <w:rPr>
          <w:b/>
          <w:color w:val="231F20"/>
          <w:spacing w:val="-23"/>
          <w:sz w:val="24"/>
        </w:rPr>
        <w:t> </w:t>
      </w:r>
      <w:r>
        <w:rPr>
          <w:color w:val="231F20"/>
          <w:sz w:val="24"/>
        </w:rPr>
        <w:t>If</w:t>
      </w:r>
      <w:r>
        <w:rPr>
          <w:color w:val="231F20"/>
          <w:spacing w:val="-21"/>
          <w:sz w:val="24"/>
        </w:rPr>
        <w:t> </w:t>
      </w:r>
      <w:r>
        <w:rPr>
          <w:color w:val="231F20"/>
          <w:sz w:val="24"/>
        </w:rPr>
        <w:t>your</w:t>
      </w:r>
      <w:r>
        <w:rPr>
          <w:color w:val="231F20"/>
          <w:spacing w:val="-22"/>
          <w:sz w:val="24"/>
        </w:rPr>
        <w:t> </w:t>
      </w:r>
      <w:r>
        <w:rPr>
          <w:color w:val="231F20"/>
          <w:sz w:val="24"/>
        </w:rPr>
        <w:t>case</w:t>
      </w:r>
      <w:r>
        <w:rPr>
          <w:color w:val="231F20"/>
          <w:spacing w:val="-21"/>
          <w:sz w:val="24"/>
        </w:rPr>
        <w:t> </w:t>
      </w:r>
      <w:r>
        <w:rPr>
          <w:color w:val="231F20"/>
          <w:sz w:val="24"/>
        </w:rPr>
        <w:t>is</w:t>
      </w:r>
      <w:r>
        <w:rPr>
          <w:color w:val="231F20"/>
          <w:spacing w:val="-22"/>
          <w:sz w:val="24"/>
        </w:rPr>
        <w:t> </w:t>
      </w:r>
      <w:r>
        <w:rPr>
          <w:color w:val="231F20"/>
          <w:sz w:val="24"/>
        </w:rPr>
        <w:t>passed</w:t>
      </w:r>
      <w:r>
        <w:rPr>
          <w:color w:val="231F20"/>
          <w:spacing w:val="-21"/>
          <w:sz w:val="24"/>
        </w:rPr>
        <w:t> </w:t>
      </w:r>
      <w:r>
        <w:rPr>
          <w:color w:val="231F20"/>
          <w:sz w:val="24"/>
        </w:rPr>
        <w:t>to</w:t>
      </w:r>
      <w:r>
        <w:rPr>
          <w:color w:val="231F20"/>
          <w:spacing w:val="-22"/>
          <w:sz w:val="24"/>
        </w:rPr>
        <w:t> </w:t>
      </w:r>
      <w:r>
        <w:rPr>
          <w:color w:val="231F20"/>
          <w:sz w:val="24"/>
        </w:rPr>
        <w:t>the</w:t>
      </w:r>
      <w:r>
        <w:rPr>
          <w:color w:val="231F20"/>
          <w:spacing w:val="-21"/>
          <w:sz w:val="24"/>
        </w:rPr>
        <w:t> </w:t>
      </w:r>
      <w:r>
        <w:rPr>
          <w:color w:val="231F20"/>
          <w:sz w:val="24"/>
        </w:rPr>
        <w:t>Enforcement</w:t>
      </w:r>
      <w:r>
        <w:rPr>
          <w:color w:val="231F20"/>
          <w:spacing w:val="-35"/>
          <w:sz w:val="24"/>
        </w:rPr>
        <w:t> </w:t>
      </w:r>
      <w:r>
        <w:rPr>
          <w:color w:val="231F20"/>
          <w:sz w:val="24"/>
        </w:rPr>
        <w:t>Agents</w:t>
      </w:r>
      <w:r>
        <w:rPr>
          <w:color w:val="231F20"/>
          <w:spacing w:val="-21"/>
          <w:sz w:val="24"/>
        </w:rPr>
        <w:t> </w:t>
      </w:r>
      <w:r>
        <w:rPr>
          <w:color w:val="231F20"/>
          <w:sz w:val="24"/>
        </w:rPr>
        <w:t>for collection,</w:t>
      </w:r>
      <w:r>
        <w:rPr>
          <w:color w:val="231F20"/>
          <w:spacing w:val="-27"/>
          <w:sz w:val="24"/>
        </w:rPr>
        <w:t> </w:t>
      </w:r>
      <w:r>
        <w:rPr>
          <w:color w:val="231F20"/>
          <w:sz w:val="24"/>
        </w:rPr>
        <w:t>you</w:t>
      </w:r>
      <w:r>
        <w:rPr>
          <w:color w:val="231F20"/>
          <w:spacing w:val="-27"/>
          <w:sz w:val="24"/>
        </w:rPr>
        <w:t> </w:t>
      </w:r>
      <w:r>
        <w:rPr>
          <w:color w:val="231F20"/>
          <w:sz w:val="24"/>
        </w:rPr>
        <w:t>will</w:t>
      </w:r>
      <w:r>
        <w:rPr>
          <w:color w:val="231F20"/>
          <w:spacing w:val="-27"/>
          <w:sz w:val="24"/>
        </w:rPr>
        <w:t> </w:t>
      </w:r>
      <w:r>
        <w:rPr>
          <w:color w:val="231F20"/>
          <w:sz w:val="24"/>
        </w:rPr>
        <w:t>have</w:t>
      </w:r>
      <w:r>
        <w:rPr>
          <w:color w:val="231F20"/>
          <w:spacing w:val="-27"/>
          <w:sz w:val="24"/>
        </w:rPr>
        <w:t> </w:t>
      </w:r>
      <w:r>
        <w:rPr>
          <w:color w:val="231F20"/>
          <w:sz w:val="24"/>
        </w:rPr>
        <w:t>to</w:t>
      </w:r>
      <w:r>
        <w:rPr>
          <w:color w:val="231F20"/>
          <w:spacing w:val="-27"/>
          <w:sz w:val="24"/>
        </w:rPr>
        <w:t> </w:t>
      </w:r>
      <w:r>
        <w:rPr>
          <w:color w:val="231F20"/>
          <w:sz w:val="24"/>
        </w:rPr>
        <w:t>pay</w:t>
      </w:r>
      <w:r>
        <w:rPr>
          <w:color w:val="231F20"/>
          <w:spacing w:val="-27"/>
          <w:sz w:val="24"/>
        </w:rPr>
        <w:t> </w:t>
      </w:r>
      <w:r>
        <w:rPr>
          <w:color w:val="231F20"/>
          <w:sz w:val="24"/>
        </w:rPr>
        <w:t>additional</w:t>
      </w:r>
      <w:r>
        <w:rPr>
          <w:color w:val="231F20"/>
          <w:spacing w:val="-27"/>
          <w:sz w:val="24"/>
        </w:rPr>
        <w:t> </w:t>
      </w:r>
      <w:r>
        <w:rPr>
          <w:color w:val="231F20"/>
          <w:sz w:val="24"/>
        </w:rPr>
        <w:t>fees,</w:t>
      </w:r>
      <w:r>
        <w:rPr>
          <w:color w:val="231F20"/>
          <w:spacing w:val="-27"/>
          <w:sz w:val="24"/>
        </w:rPr>
        <w:t> </w:t>
      </w:r>
      <w:r>
        <w:rPr>
          <w:color w:val="231F20"/>
          <w:sz w:val="24"/>
        </w:rPr>
        <w:t>as</w:t>
      </w:r>
      <w:r>
        <w:rPr>
          <w:color w:val="231F20"/>
          <w:spacing w:val="-27"/>
          <w:sz w:val="24"/>
        </w:rPr>
        <w:t> </w:t>
      </w:r>
      <w:r>
        <w:rPr>
          <w:color w:val="231F20"/>
          <w:sz w:val="24"/>
        </w:rPr>
        <w:t>shown</w:t>
      </w:r>
      <w:r>
        <w:rPr>
          <w:color w:val="231F20"/>
          <w:spacing w:val="-27"/>
          <w:sz w:val="24"/>
        </w:rPr>
        <w:t> </w:t>
      </w:r>
      <w:r>
        <w:rPr>
          <w:color w:val="231F20"/>
          <w:sz w:val="24"/>
        </w:rPr>
        <w:t>below:-</w:t>
      </w:r>
    </w:p>
    <w:p>
      <w:pPr>
        <w:pStyle w:val="BodyText"/>
        <w:rPr>
          <w:sz w:val="20"/>
        </w:rPr>
      </w:pPr>
    </w:p>
    <w:p>
      <w:pPr>
        <w:pStyle w:val="BodyText"/>
        <w:rPr>
          <w:sz w:val="20"/>
        </w:rPr>
      </w:pPr>
    </w:p>
    <w:p>
      <w:pPr>
        <w:pStyle w:val="BodyText"/>
        <w:rPr>
          <w:sz w:val="20"/>
        </w:rPr>
      </w:pPr>
    </w:p>
    <w:p>
      <w:pPr>
        <w:pStyle w:val="BodyText"/>
        <w:spacing w:before="9"/>
        <w:rPr>
          <w:sz w:val="23"/>
        </w:rPr>
      </w:pPr>
    </w:p>
    <w:tbl>
      <w:tblPr>
        <w:tblW w:w="0" w:type="auto"/>
        <w:jc w:val="left"/>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2"/>
        <w:gridCol w:w="1827"/>
        <w:gridCol w:w="2402"/>
        <w:gridCol w:w="786"/>
      </w:tblGrid>
      <w:tr>
        <w:trPr>
          <w:trHeight w:val="2500" w:hRule="atLeast"/>
        </w:trPr>
        <w:tc>
          <w:tcPr>
            <w:tcW w:w="7607" w:type="dxa"/>
            <w:gridSpan w:val="4"/>
            <w:tcBorders>
              <w:top w:val="single" w:sz="8" w:space="0" w:color="231F20"/>
              <w:left w:val="single" w:sz="8" w:space="0" w:color="231F20"/>
              <w:bottom w:val="single" w:sz="8" w:space="0" w:color="231F20"/>
              <w:right w:val="single" w:sz="8" w:space="0" w:color="231F20"/>
            </w:tcBorders>
          </w:tcPr>
          <w:p>
            <w:pPr>
              <w:pStyle w:val="TableParagraph"/>
              <w:tabs>
                <w:tab w:pos="6257" w:val="left" w:leader="none"/>
              </w:tabs>
              <w:spacing w:before="225"/>
              <w:ind w:left="2986"/>
              <w:rPr>
                <w:sz w:val="21"/>
              </w:rPr>
            </w:pPr>
            <w:r>
              <w:rPr>
                <w:spacing w:val="-12"/>
                <w:sz w:val="30"/>
              </w:rPr>
              <w:t>SCHEDULE</w:t>
              <w:tab/>
            </w:r>
            <w:r>
              <w:rPr>
                <w:sz w:val="21"/>
              </w:rPr>
              <w:t>Regulation</w:t>
            </w:r>
            <w:r>
              <w:rPr>
                <w:spacing w:val="26"/>
                <w:sz w:val="21"/>
              </w:rPr>
              <w:t> </w:t>
            </w:r>
            <w:r>
              <w:rPr>
                <w:sz w:val="21"/>
              </w:rPr>
              <w:t>4</w:t>
            </w:r>
          </w:p>
          <w:p>
            <w:pPr>
              <w:pStyle w:val="TableParagraph"/>
              <w:spacing w:before="300"/>
              <w:ind w:left="1499" w:right="1481"/>
              <w:jc w:val="center"/>
              <w:rPr>
                <w:sz w:val="28"/>
              </w:rPr>
            </w:pPr>
            <w:r>
              <w:rPr>
                <w:sz w:val="28"/>
              </w:rPr>
              <w:t>Fees recoverable under regulation</w:t>
            </w:r>
            <w:r>
              <w:rPr>
                <w:spacing w:val="68"/>
                <w:sz w:val="28"/>
              </w:rPr>
              <w:t> </w:t>
            </w:r>
            <w:r>
              <w:rPr>
                <w:sz w:val="28"/>
              </w:rPr>
              <w:t>4</w:t>
            </w:r>
          </w:p>
          <w:p>
            <w:pPr>
              <w:pStyle w:val="TableParagraph"/>
              <w:spacing w:before="0"/>
              <w:ind w:left="0"/>
              <w:rPr>
                <w:sz w:val="30"/>
              </w:rPr>
            </w:pPr>
          </w:p>
          <w:p>
            <w:pPr>
              <w:pStyle w:val="TableParagraph"/>
              <w:spacing w:before="246"/>
              <w:ind w:left="188"/>
              <w:rPr>
                <w:b/>
                <w:sz w:val="21"/>
              </w:rPr>
            </w:pPr>
            <w:r>
              <w:rPr>
                <w:b/>
                <w:sz w:val="21"/>
              </w:rPr>
              <w:t>Table 1</w:t>
            </w:r>
          </w:p>
          <w:p>
            <w:pPr>
              <w:pStyle w:val="TableParagraph"/>
              <w:spacing w:before="181"/>
              <w:ind w:left="188"/>
              <w:rPr>
                <w:b/>
                <w:sz w:val="21"/>
              </w:rPr>
            </w:pPr>
            <w:r>
              <w:rPr>
                <w:b/>
                <w:sz w:val="21"/>
              </w:rPr>
              <w:t>Enforcement other than under a High Court Writ</w:t>
            </w:r>
          </w:p>
        </w:tc>
      </w:tr>
      <w:tr>
        <w:trPr>
          <w:trHeight w:val="1407" w:hRule="atLeast"/>
        </w:trPr>
        <w:tc>
          <w:tcPr>
            <w:tcW w:w="2592" w:type="dxa"/>
            <w:tcBorders>
              <w:top w:val="single" w:sz="8" w:space="0" w:color="231F20"/>
              <w:left w:val="single" w:sz="8" w:space="0" w:color="231F20"/>
              <w:bottom w:val="single" w:sz="8" w:space="0" w:color="231F20"/>
            </w:tcBorders>
          </w:tcPr>
          <w:p>
            <w:pPr>
              <w:pStyle w:val="TableParagraph"/>
              <w:spacing w:before="107"/>
              <w:ind w:left="188"/>
              <w:rPr>
                <w:i/>
                <w:sz w:val="21"/>
              </w:rPr>
            </w:pPr>
            <w:r>
              <w:rPr>
                <w:i/>
                <w:sz w:val="21"/>
              </w:rPr>
              <w:t>Fee Stage</w:t>
            </w:r>
          </w:p>
        </w:tc>
        <w:tc>
          <w:tcPr>
            <w:tcW w:w="1827" w:type="dxa"/>
            <w:tcBorders>
              <w:top w:val="single" w:sz="8" w:space="0" w:color="231F20"/>
              <w:bottom w:val="single" w:sz="8" w:space="0" w:color="231F20"/>
            </w:tcBorders>
          </w:tcPr>
          <w:p>
            <w:pPr>
              <w:pStyle w:val="TableParagraph"/>
              <w:spacing w:before="107"/>
              <w:ind w:left="301"/>
              <w:rPr>
                <w:i/>
                <w:sz w:val="21"/>
              </w:rPr>
            </w:pPr>
            <w:r>
              <w:rPr>
                <w:i/>
                <w:sz w:val="21"/>
              </w:rPr>
              <w:t>Fixed Fee</w:t>
            </w:r>
          </w:p>
        </w:tc>
        <w:tc>
          <w:tcPr>
            <w:tcW w:w="2402" w:type="dxa"/>
            <w:tcBorders>
              <w:top w:val="single" w:sz="8" w:space="0" w:color="231F20"/>
              <w:bottom w:val="single" w:sz="8" w:space="0" w:color="231F20"/>
            </w:tcBorders>
          </w:tcPr>
          <w:p>
            <w:pPr>
              <w:pStyle w:val="TableParagraph"/>
              <w:spacing w:line="249" w:lineRule="auto" w:before="107"/>
              <w:ind w:firstLine="2"/>
              <w:rPr>
                <w:i/>
                <w:sz w:val="21"/>
              </w:rPr>
            </w:pPr>
            <w:r>
              <w:rPr>
                <w:i/>
                <w:sz w:val="21"/>
              </w:rPr>
              <w:t>Percentage fee </w:t>
            </w:r>
            <w:r>
              <w:rPr>
                <w:i/>
                <w:sz w:val="21"/>
              </w:rPr>
              <w:t>(regulation 7): percentage of sum be recovered exceeding £1500</w:t>
            </w:r>
          </w:p>
        </w:tc>
        <w:tc>
          <w:tcPr>
            <w:tcW w:w="786" w:type="dxa"/>
            <w:tcBorders>
              <w:top w:val="single" w:sz="8" w:space="0" w:color="231F20"/>
              <w:bottom w:val="single" w:sz="8" w:space="0" w:color="231F20"/>
              <w:right w:val="single" w:sz="8" w:space="0" w:color="231F20"/>
            </w:tcBorders>
          </w:tcPr>
          <w:p>
            <w:pPr>
              <w:pStyle w:val="TableParagraph"/>
              <w:spacing w:before="0"/>
              <w:ind w:left="0"/>
              <w:rPr>
                <w:sz w:val="22"/>
              </w:rPr>
            </w:pPr>
          </w:p>
          <w:p>
            <w:pPr>
              <w:pStyle w:val="TableParagraph"/>
              <w:spacing w:before="1"/>
              <w:ind w:left="0"/>
              <w:rPr>
                <w:sz w:val="31"/>
              </w:rPr>
            </w:pPr>
          </w:p>
          <w:p>
            <w:pPr>
              <w:pStyle w:val="TableParagraph"/>
              <w:spacing w:before="1"/>
              <w:ind w:left="45"/>
              <w:rPr>
                <w:i/>
                <w:sz w:val="21"/>
              </w:rPr>
            </w:pPr>
            <w:r>
              <w:rPr>
                <w:i/>
                <w:sz w:val="21"/>
              </w:rPr>
              <w:t>to</w:t>
            </w:r>
          </w:p>
        </w:tc>
      </w:tr>
      <w:tr>
        <w:trPr>
          <w:trHeight w:val="302" w:hRule="atLeast"/>
        </w:trPr>
        <w:tc>
          <w:tcPr>
            <w:tcW w:w="2592" w:type="dxa"/>
            <w:tcBorders>
              <w:top w:val="single" w:sz="8" w:space="0" w:color="231F20"/>
              <w:left w:val="single" w:sz="8" w:space="0" w:color="231F20"/>
            </w:tcBorders>
          </w:tcPr>
          <w:p>
            <w:pPr>
              <w:pStyle w:val="TableParagraph"/>
              <w:spacing w:line="230" w:lineRule="exact" w:before="52"/>
              <w:ind w:left="187"/>
              <w:rPr>
                <w:sz w:val="21"/>
              </w:rPr>
            </w:pPr>
            <w:r>
              <w:rPr>
                <w:sz w:val="21"/>
              </w:rPr>
              <w:t>Compliance stage</w:t>
            </w:r>
          </w:p>
        </w:tc>
        <w:tc>
          <w:tcPr>
            <w:tcW w:w="1827" w:type="dxa"/>
            <w:tcBorders>
              <w:top w:val="single" w:sz="8" w:space="0" w:color="231F20"/>
            </w:tcBorders>
          </w:tcPr>
          <w:p>
            <w:pPr>
              <w:pStyle w:val="TableParagraph"/>
              <w:spacing w:line="230" w:lineRule="exact" w:before="52"/>
              <w:ind w:left="298"/>
              <w:rPr>
                <w:sz w:val="21"/>
              </w:rPr>
            </w:pPr>
            <w:r>
              <w:rPr>
                <w:sz w:val="21"/>
              </w:rPr>
              <w:t>£75.00</w:t>
            </w:r>
          </w:p>
        </w:tc>
        <w:tc>
          <w:tcPr>
            <w:tcW w:w="3188" w:type="dxa"/>
            <w:gridSpan w:val="2"/>
            <w:tcBorders>
              <w:top w:val="single" w:sz="8" w:space="0" w:color="231F20"/>
              <w:right w:val="single" w:sz="8" w:space="0" w:color="231F20"/>
            </w:tcBorders>
          </w:tcPr>
          <w:p>
            <w:pPr>
              <w:pStyle w:val="TableParagraph"/>
              <w:spacing w:line="230" w:lineRule="exact" w:before="52"/>
              <w:rPr>
                <w:sz w:val="21"/>
              </w:rPr>
            </w:pPr>
            <w:r>
              <w:rPr>
                <w:sz w:val="21"/>
              </w:rPr>
              <w:t>0%</w:t>
            </w:r>
          </w:p>
        </w:tc>
      </w:tr>
      <w:tr>
        <w:trPr>
          <w:trHeight w:val="252" w:hRule="atLeast"/>
        </w:trPr>
        <w:tc>
          <w:tcPr>
            <w:tcW w:w="2592" w:type="dxa"/>
            <w:tcBorders>
              <w:left w:val="single" w:sz="8" w:space="0" w:color="231F20"/>
            </w:tcBorders>
          </w:tcPr>
          <w:p>
            <w:pPr>
              <w:pStyle w:val="TableParagraph"/>
              <w:spacing w:line="230" w:lineRule="exact"/>
              <w:ind w:left="187"/>
              <w:rPr>
                <w:sz w:val="21"/>
              </w:rPr>
            </w:pPr>
            <w:r>
              <w:rPr>
                <w:sz w:val="21"/>
              </w:rPr>
              <w:t>Enforcement stage</w:t>
            </w:r>
          </w:p>
        </w:tc>
        <w:tc>
          <w:tcPr>
            <w:tcW w:w="1827" w:type="dxa"/>
          </w:tcPr>
          <w:p>
            <w:pPr>
              <w:pStyle w:val="TableParagraph"/>
              <w:spacing w:line="230" w:lineRule="exact"/>
              <w:ind w:left="298"/>
              <w:rPr>
                <w:sz w:val="21"/>
              </w:rPr>
            </w:pPr>
            <w:r>
              <w:rPr>
                <w:sz w:val="21"/>
              </w:rPr>
              <w:t>£235.00</w:t>
            </w:r>
          </w:p>
        </w:tc>
        <w:tc>
          <w:tcPr>
            <w:tcW w:w="3188" w:type="dxa"/>
            <w:gridSpan w:val="2"/>
            <w:tcBorders>
              <w:right w:val="single" w:sz="8" w:space="0" w:color="231F20"/>
            </w:tcBorders>
          </w:tcPr>
          <w:p>
            <w:pPr>
              <w:pStyle w:val="TableParagraph"/>
              <w:spacing w:line="230" w:lineRule="exact"/>
              <w:rPr>
                <w:sz w:val="21"/>
              </w:rPr>
            </w:pPr>
            <w:r>
              <w:rPr>
                <w:sz w:val="21"/>
              </w:rPr>
              <w:t>7.5%</w:t>
            </w:r>
          </w:p>
        </w:tc>
      </w:tr>
      <w:tr>
        <w:trPr>
          <w:trHeight w:val="859" w:hRule="atLeast"/>
        </w:trPr>
        <w:tc>
          <w:tcPr>
            <w:tcW w:w="2592" w:type="dxa"/>
            <w:tcBorders>
              <w:left w:val="single" w:sz="8" w:space="0" w:color="231F20"/>
              <w:bottom w:val="single" w:sz="8" w:space="0" w:color="231F20"/>
            </w:tcBorders>
          </w:tcPr>
          <w:p>
            <w:pPr>
              <w:pStyle w:val="TableParagraph"/>
              <w:ind w:left="187"/>
              <w:rPr>
                <w:sz w:val="21"/>
              </w:rPr>
            </w:pPr>
            <w:r>
              <w:rPr>
                <w:sz w:val="21"/>
              </w:rPr>
              <w:t>Sale or disposal stage</w:t>
            </w:r>
          </w:p>
        </w:tc>
        <w:tc>
          <w:tcPr>
            <w:tcW w:w="1827" w:type="dxa"/>
            <w:tcBorders>
              <w:bottom w:val="single" w:sz="8" w:space="0" w:color="231F20"/>
            </w:tcBorders>
          </w:tcPr>
          <w:p>
            <w:pPr>
              <w:pStyle w:val="TableParagraph"/>
              <w:ind w:left="298"/>
              <w:rPr>
                <w:sz w:val="21"/>
              </w:rPr>
            </w:pPr>
            <w:r>
              <w:rPr>
                <w:sz w:val="21"/>
              </w:rPr>
              <w:t>£110.00</w:t>
            </w:r>
          </w:p>
        </w:tc>
        <w:tc>
          <w:tcPr>
            <w:tcW w:w="3188" w:type="dxa"/>
            <w:gridSpan w:val="2"/>
            <w:tcBorders>
              <w:bottom w:val="single" w:sz="8" w:space="0" w:color="231F20"/>
              <w:right w:val="single" w:sz="8" w:space="0" w:color="231F20"/>
            </w:tcBorders>
          </w:tcPr>
          <w:p>
            <w:pPr>
              <w:pStyle w:val="TableParagraph"/>
              <w:rPr>
                <w:sz w:val="21"/>
              </w:rPr>
            </w:pPr>
            <w:r>
              <w:rPr>
                <w:sz w:val="21"/>
              </w:rPr>
              <w:t>7.5%</w:t>
            </w:r>
          </w:p>
        </w:tc>
      </w:tr>
    </w:tbl>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
        <w:rPr>
          <w:sz w:val="27"/>
        </w:rPr>
      </w:pPr>
    </w:p>
    <w:p>
      <w:pPr>
        <w:tabs>
          <w:tab w:pos="7318" w:val="left" w:leader="none"/>
        </w:tabs>
        <w:spacing w:before="0"/>
        <w:ind w:left="171" w:right="0" w:firstLine="0"/>
        <w:jc w:val="left"/>
        <w:rPr>
          <w:sz w:val="9"/>
        </w:rPr>
      </w:pPr>
      <w:r>
        <w:rPr>
          <w:color w:val="231F20"/>
          <w:sz w:val="9"/>
        </w:rPr>
        <w:t>FIN/ABEA</w:t>
      </w:r>
      <w:r>
        <w:rPr>
          <w:color w:val="231F20"/>
          <w:spacing w:val="-3"/>
          <w:sz w:val="9"/>
        </w:rPr>
        <w:t> </w:t>
      </w:r>
      <w:r>
        <w:rPr>
          <w:color w:val="231F20"/>
          <w:sz w:val="9"/>
        </w:rPr>
        <w:t>2014</w:t>
        <w:tab/>
        <w:t>Feb</w:t>
      </w:r>
      <w:r>
        <w:rPr>
          <w:color w:val="231F20"/>
          <w:spacing w:val="-12"/>
          <w:sz w:val="9"/>
        </w:rPr>
        <w:t> </w:t>
      </w:r>
      <w:r>
        <w:rPr>
          <w:color w:val="231F20"/>
          <w:spacing w:val="-3"/>
          <w:sz w:val="9"/>
        </w:rPr>
        <w:t>2014</w:t>
      </w:r>
    </w:p>
    <w:p>
      <w:pPr>
        <w:pStyle w:val="BodyText"/>
        <w:rPr>
          <w:sz w:val="30"/>
        </w:rPr>
      </w:pPr>
      <w:r>
        <w:rPr/>
        <w:br w:type="column"/>
      </w:r>
      <w:r>
        <w:rPr>
          <w:sz w:val="30"/>
        </w:rPr>
      </w:r>
    </w:p>
    <w:p>
      <w:pPr>
        <w:spacing w:line="249" w:lineRule="auto" w:before="0"/>
        <w:ind w:left="144" w:right="1629" w:firstLine="0"/>
        <w:jc w:val="center"/>
        <w:rPr>
          <w:b/>
          <w:sz w:val="28"/>
        </w:rPr>
      </w:pPr>
      <w:r>
        <w:rPr>
          <w:b/>
          <w:color w:val="231F20"/>
          <w:sz w:val="28"/>
        </w:rPr>
        <w:t>TONBRIDGE AND MALLING BOROUGH COUNCIL</w:t>
      </w:r>
    </w:p>
    <w:p>
      <w:pPr>
        <w:pStyle w:val="BodyText"/>
        <w:rPr>
          <w:b/>
          <w:sz w:val="20"/>
        </w:rPr>
      </w:pPr>
    </w:p>
    <w:p>
      <w:pPr>
        <w:pStyle w:val="BodyText"/>
        <w:rPr>
          <w:b/>
          <w:sz w:val="20"/>
        </w:rPr>
      </w:pPr>
    </w:p>
    <w:p>
      <w:pPr>
        <w:pStyle w:val="BodyText"/>
        <w:spacing w:before="6" w:after="1"/>
        <w:rPr>
          <w:b/>
          <w:sz w:val="19"/>
        </w:rPr>
      </w:pPr>
    </w:p>
    <w:p>
      <w:pPr>
        <w:pStyle w:val="BodyText"/>
        <w:ind w:left="-944"/>
        <w:rPr>
          <w:sz w:val="20"/>
        </w:rPr>
      </w:pPr>
      <w:r>
        <w:rPr>
          <w:sz w:val="20"/>
        </w:rPr>
        <w:pict>
          <v:group style="width:341.1pt;height:181.8pt;mso-position-horizontal-relative:char;mso-position-vertical-relative:line" coordorigin="0,0" coordsize="6822,3636">
            <v:shape style="position:absolute;left:94;top:283;width:6727;height:3352" coordorigin="95,284" coordsize="6727,3352" path="m6821,284l95,284,95,3550,95,3635,6821,3635,6821,3550,6821,284xe" filled="true" fillcolor="#231f20" stroked="false">
              <v:path arrowok="t"/>
              <v:fill type="solid"/>
            </v:shape>
            <v:rect style="position:absolute;left:9;top:198;width:6727;height:3352" filled="true" fillcolor="#ffffff" stroked="false">
              <v:fill type="solid"/>
            </v:rect>
            <v:rect style="position:absolute;left:9;top:198;width:6727;height:3352" filled="false" stroked="true" strokeweight=".96pt" strokecolor="#231f20">
              <v:stroke dashstyle="solid"/>
            </v:rect>
            <v:shapetype id="_x0000_t202" o:spt="202" coordsize="21600,21600" path="m,l,21600r21600,l21600,xe">
              <v:stroke joinstyle="miter"/>
              <v:path gradientshapeok="t" o:connecttype="rect"/>
            </v:shapetype>
            <v:shape style="position:absolute;left:0;top:0;width:6822;height:3636" type="#_x0000_t202" filled="false" stroked="false">
              <v:textbox inset="0,0,0,0">
                <w:txbxContent>
                  <w:p>
                    <w:pPr>
                      <w:spacing w:line="204" w:lineRule="auto" w:before="152"/>
                      <w:ind w:left="169" w:right="213" w:firstLine="2"/>
                      <w:jc w:val="center"/>
                      <w:rPr>
                        <w:rFonts w:ascii="Arial Black"/>
                        <w:sz w:val="92"/>
                      </w:rPr>
                    </w:pPr>
                    <w:r>
                      <w:rPr>
                        <w:rFonts w:ascii="Arial Black"/>
                        <w:color w:val="231F20"/>
                        <w:sz w:val="92"/>
                      </w:rPr>
                      <w:t>Action by </w:t>
                    </w:r>
                    <w:r>
                      <w:rPr>
                        <w:rFonts w:ascii="Arial Black"/>
                        <w:color w:val="231F20"/>
                        <w:spacing w:val="-1"/>
                        <w:sz w:val="92"/>
                      </w:rPr>
                      <w:t>Enforcement </w:t>
                    </w:r>
                    <w:r>
                      <w:rPr>
                        <w:rFonts w:ascii="Arial Black"/>
                        <w:color w:val="231F20"/>
                        <w:spacing w:val="-4"/>
                        <w:sz w:val="92"/>
                      </w:rPr>
                      <w:t>Agents</w:t>
                    </w:r>
                  </w:p>
                </w:txbxContent>
              </v:textbox>
              <w10:wrap type="none"/>
            </v:shape>
          </v:group>
        </w:pict>
      </w:r>
      <w:r>
        <w:rPr>
          <w:sz w:val="20"/>
        </w:rPr>
      </w:r>
    </w:p>
    <w:p>
      <w:pPr>
        <w:pStyle w:val="BodyText"/>
        <w:rPr>
          <w:b/>
          <w:sz w:val="30"/>
        </w:rPr>
      </w:pPr>
    </w:p>
    <w:p>
      <w:pPr>
        <w:pStyle w:val="BodyText"/>
        <w:spacing w:before="10"/>
        <w:rPr>
          <w:b/>
          <w:sz w:val="35"/>
        </w:rPr>
      </w:pPr>
    </w:p>
    <w:p>
      <w:pPr>
        <w:pStyle w:val="Title"/>
      </w:pPr>
      <w:r>
        <w:rPr>
          <w:color w:val="231F20"/>
        </w:rPr>
        <w:t>Council Tax Office</w:t>
      </w:r>
    </w:p>
    <w:p>
      <w:pPr>
        <w:pStyle w:val="Heading1"/>
        <w:spacing w:line="249" w:lineRule="auto" w:before="323"/>
        <w:ind w:left="144" w:right="1630"/>
        <w:jc w:val="center"/>
      </w:pPr>
      <w:r>
        <w:rPr>
          <w:color w:val="231F20"/>
        </w:rPr>
        <w:t>Tonbridge and Malling Borough Council Gibson Building</w:t>
      </w:r>
    </w:p>
    <w:p>
      <w:pPr>
        <w:spacing w:line="249" w:lineRule="auto" w:before="2"/>
        <w:ind w:left="1679" w:right="3163" w:firstLine="0"/>
        <w:jc w:val="center"/>
        <w:rPr>
          <w:b/>
          <w:sz w:val="24"/>
        </w:rPr>
      </w:pPr>
      <w:r>
        <w:rPr>
          <w:b/>
          <w:color w:val="231F20"/>
          <w:sz w:val="24"/>
        </w:rPr>
        <w:t>Gibson Drive Kings Hill West Malling Kent</w:t>
      </w:r>
    </w:p>
    <w:p>
      <w:pPr>
        <w:pStyle w:val="Heading1"/>
        <w:spacing w:before="4"/>
        <w:ind w:left="144" w:right="1629"/>
        <w:jc w:val="center"/>
      </w:pPr>
      <w:r>
        <w:rPr>
          <w:color w:val="231F20"/>
        </w:rPr>
        <w:t>ME19 4LZ</w:t>
      </w:r>
    </w:p>
    <w:p>
      <w:pPr>
        <w:spacing w:before="12"/>
        <w:ind w:left="144" w:right="1629" w:firstLine="0"/>
        <w:jc w:val="center"/>
        <w:rPr>
          <w:b/>
          <w:sz w:val="24"/>
        </w:rPr>
      </w:pPr>
      <w:r>
        <w:rPr>
          <w:b/>
          <w:color w:val="231F20"/>
          <w:sz w:val="24"/>
        </w:rPr>
        <w:t>Tel: (01732) 876388</w:t>
      </w:r>
    </w:p>
    <w:p>
      <w:pPr>
        <w:pStyle w:val="Heading1"/>
        <w:spacing w:before="12"/>
        <w:ind w:left="144" w:right="1627"/>
        <w:jc w:val="center"/>
      </w:pPr>
      <w:r>
        <w:rPr>
          <w:color w:val="231F20"/>
        </w:rPr>
        <w:t>Email: </w:t>
      </w:r>
      <w:hyperlink r:id="rId5">
        <w:r>
          <w:rPr>
            <w:color w:val="231F20"/>
          </w:rPr>
          <w:t>revenues@tmbc.gov.uk</w:t>
        </w:r>
      </w:hyperlink>
    </w:p>
    <w:p>
      <w:pPr>
        <w:pStyle w:val="BodyText"/>
        <w:rPr>
          <w:b/>
          <w:sz w:val="23"/>
        </w:rPr>
      </w:pPr>
      <w:r>
        <w:rPr/>
        <w:drawing>
          <wp:anchor distT="0" distB="0" distL="0" distR="0" allowOverlap="1" layoutInCell="1" locked="0" behindDoc="0" simplePos="0" relativeHeight="1">
            <wp:simplePos x="0" y="0"/>
            <wp:positionH relativeFrom="page">
              <wp:posOffset>9611994</wp:posOffset>
            </wp:positionH>
            <wp:positionV relativeFrom="paragraph">
              <wp:posOffset>192858</wp:posOffset>
            </wp:positionV>
            <wp:extent cx="766762" cy="766762"/>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766762" cy="766762"/>
                    </a:xfrm>
                    <a:prstGeom prst="rect">
                      <a:avLst/>
                    </a:prstGeom>
                  </pic:spPr>
                </pic:pic>
              </a:graphicData>
            </a:graphic>
          </wp:anchor>
        </w:drawing>
      </w:r>
    </w:p>
    <w:p>
      <w:pPr>
        <w:spacing w:after="0"/>
        <w:rPr>
          <w:sz w:val="23"/>
        </w:rPr>
        <w:sectPr>
          <w:type w:val="continuous"/>
          <w:pgSz w:w="16840" w:h="11900" w:orient="landscape"/>
          <w:pgMar w:top="460" w:bottom="0" w:left="280" w:right="280"/>
          <w:cols w:num="2" w:equalWidth="0">
            <w:col w:w="7717" w:space="2188"/>
            <w:col w:w="6375"/>
          </w:cols>
        </w:sectPr>
      </w:pPr>
    </w:p>
    <w:p>
      <w:pPr>
        <w:spacing w:before="97"/>
        <w:ind w:left="135" w:right="0" w:firstLine="0"/>
        <w:jc w:val="left"/>
        <w:rPr>
          <w:b/>
          <w:sz w:val="24"/>
        </w:rPr>
      </w:pPr>
      <w:r>
        <w:rPr>
          <w:b/>
          <w:color w:val="231F20"/>
          <w:sz w:val="24"/>
        </w:rPr>
        <w:t>Why do we use enforcement agents?</w:t>
      </w:r>
    </w:p>
    <w:p>
      <w:pPr>
        <w:pStyle w:val="BodyText"/>
        <w:spacing w:line="249" w:lineRule="auto" w:before="74"/>
        <w:ind w:left="135" w:right="172"/>
      </w:pPr>
      <w:r>
        <w:rPr>
          <w:color w:val="231F20"/>
        </w:rPr>
        <w:t>The Council has a legal duty to collect unpaid council tax as promptly as possible. If we allow arrears to build up it may mean that the council tax has to be increased in future to make up for it.</w:t>
      </w:r>
    </w:p>
    <w:p>
      <w:pPr>
        <w:pStyle w:val="BodyText"/>
        <w:spacing w:line="252" w:lineRule="auto" w:before="115"/>
        <w:ind w:left="135"/>
      </w:pPr>
      <w:r>
        <w:rPr>
          <w:color w:val="231F20"/>
        </w:rPr>
        <w:t>After we have taken a person to court, we have a number of legal powers which we can use. In each case, we must decide which power is most appropriate. In many cases, however, we have no alternative other than to use enforcement agents. Enforcement agents used to be called bailiffs.</w:t>
      </w:r>
    </w:p>
    <w:p>
      <w:pPr>
        <w:pStyle w:val="BodyText"/>
        <w:spacing w:before="9"/>
        <w:rPr>
          <w:sz w:val="24"/>
        </w:rPr>
      </w:pPr>
    </w:p>
    <w:p>
      <w:pPr>
        <w:pStyle w:val="Heading1"/>
      </w:pPr>
      <w:r>
        <w:rPr>
          <w:color w:val="231F20"/>
        </w:rPr>
        <w:t>Who are the enforcement agents?</w:t>
      </w:r>
    </w:p>
    <w:p>
      <w:pPr>
        <w:pStyle w:val="BodyText"/>
        <w:spacing w:line="259" w:lineRule="auto" w:before="71"/>
        <w:ind w:left="135"/>
      </w:pPr>
      <w:r>
        <w:rPr>
          <w:color w:val="231F20"/>
        </w:rPr>
        <w:t>The Council employs external enforcement agents. The enforcement agents are certificated by a competent</w:t>
      </w:r>
      <w:r>
        <w:rPr>
          <w:color w:val="231F20"/>
          <w:spacing w:val="54"/>
        </w:rPr>
        <w:t> </w:t>
      </w:r>
      <w:r>
        <w:rPr>
          <w:color w:val="231F20"/>
        </w:rPr>
        <w:t>court.</w:t>
      </w:r>
    </w:p>
    <w:p>
      <w:pPr>
        <w:pStyle w:val="BodyText"/>
        <w:spacing w:before="9"/>
        <w:rPr>
          <w:sz w:val="23"/>
        </w:rPr>
      </w:pPr>
    </w:p>
    <w:p>
      <w:pPr>
        <w:pStyle w:val="Heading1"/>
      </w:pPr>
      <w:r>
        <w:rPr>
          <w:color w:val="231F20"/>
        </w:rPr>
        <w:t>What can the enforcement agents do?</w:t>
      </w:r>
    </w:p>
    <w:p>
      <w:pPr>
        <w:pStyle w:val="BodyText"/>
        <w:spacing w:line="249" w:lineRule="auto" w:before="74"/>
        <w:ind w:left="135" w:right="172"/>
      </w:pPr>
      <w:r>
        <w:rPr>
          <w:color w:val="231F20"/>
        </w:rPr>
        <w:t>The enforcement agents have the power to take control of goods. This means that they can seize your possessions and sell them to raise enough money to pay off the outstanding council tax. They will also need to cover their own fees.</w:t>
      </w:r>
    </w:p>
    <w:p>
      <w:pPr>
        <w:pStyle w:val="BodyText"/>
        <w:spacing w:line="254" w:lineRule="auto" w:before="115"/>
        <w:ind w:left="135" w:right="39"/>
        <w:jc w:val="both"/>
      </w:pPr>
      <w:r>
        <w:rPr>
          <w:color w:val="231F20"/>
          <w:spacing w:val="-13"/>
        </w:rPr>
        <w:t>To </w:t>
      </w:r>
      <w:r>
        <w:rPr>
          <w:color w:val="231F20"/>
        </w:rPr>
        <w:t>start with, the enforcement agents write to you and charge a “compliance fee” of £75. It is very important that you do not ignore the enforcement agents letters. If you do, you might end up having to pay extra fees to</w:t>
      </w:r>
      <w:r>
        <w:rPr>
          <w:color w:val="231F20"/>
          <w:spacing w:val="9"/>
        </w:rPr>
        <w:t> </w:t>
      </w:r>
      <w:r>
        <w:rPr>
          <w:color w:val="231F20"/>
        </w:rPr>
        <w:t>them.</w:t>
      </w:r>
    </w:p>
    <w:p>
      <w:pPr>
        <w:pStyle w:val="BodyText"/>
        <w:spacing w:before="3"/>
        <w:rPr>
          <w:sz w:val="24"/>
        </w:rPr>
      </w:pPr>
    </w:p>
    <w:p>
      <w:pPr>
        <w:pStyle w:val="Heading1"/>
      </w:pPr>
      <w:r>
        <w:rPr>
          <w:color w:val="231F20"/>
        </w:rPr>
        <w:t>Can the enforcement agents seize all my possessions?</w:t>
      </w:r>
    </w:p>
    <w:p>
      <w:pPr>
        <w:pStyle w:val="BodyText"/>
        <w:spacing w:line="254" w:lineRule="auto" w:before="74"/>
        <w:ind w:left="135" w:right="172"/>
      </w:pPr>
      <w:r>
        <w:rPr>
          <w:color w:val="231F20"/>
        </w:rPr>
        <w:t>There are some items which enforcement agents may not legally seize. These include cookers and fridges (unless you have more than one), and certain tools or equipment that you use personally for your trade.</w:t>
      </w:r>
    </w:p>
    <w:p>
      <w:pPr>
        <w:pStyle w:val="BodyText"/>
        <w:spacing w:before="3"/>
        <w:rPr>
          <w:sz w:val="24"/>
        </w:rPr>
      </w:pPr>
    </w:p>
    <w:p>
      <w:pPr>
        <w:pStyle w:val="Heading1"/>
      </w:pPr>
      <w:r>
        <w:rPr>
          <w:color w:val="231F20"/>
        </w:rPr>
        <w:t>What are the enforcement agents’ fees?</w:t>
      </w:r>
    </w:p>
    <w:p>
      <w:pPr>
        <w:pStyle w:val="BodyText"/>
        <w:spacing w:line="254" w:lineRule="auto" w:before="72"/>
        <w:ind w:left="135"/>
      </w:pPr>
      <w:r>
        <w:rPr>
          <w:color w:val="231F20"/>
        </w:rPr>
        <w:t>If your case is passed to the enforcement agents, you will have to pay their fees. The fees are laid down in law, and the amounts are set out on the back of this leaflet.</w:t>
      </w:r>
    </w:p>
    <w:p>
      <w:pPr>
        <w:pStyle w:val="BodyText"/>
        <w:spacing w:before="3"/>
        <w:rPr>
          <w:sz w:val="24"/>
        </w:rPr>
      </w:pPr>
    </w:p>
    <w:p>
      <w:pPr>
        <w:pStyle w:val="Heading1"/>
      </w:pPr>
      <w:r>
        <w:rPr>
          <w:color w:val="231F20"/>
        </w:rPr>
        <w:t>What should I do if my case is passed to the enforcement agents?</w:t>
      </w:r>
    </w:p>
    <w:p>
      <w:pPr>
        <w:pStyle w:val="BodyText"/>
        <w:spacing w:line="249" w:lineRule="auto" w:before="74"/>
        <w:ind w:left="135" w:right="172"/>
      </w:pPr>
      <w:r>
        <w:rPr>
          <w:color w:val="231F20"/>
        </w:rPr>
        <w:t>The enforcement agents’ job is to collect the outstanding council tax as quickly as possible. Therefore, you should pay the outstanding amount, including any fees, </w:t>
      </w:r>
      <w:r>
        <w:rPr>
          <w:b/>
          <w:color w:val="231F20"/>
        </w:rPr>
        <w:t>to the enforcement agents </w:t>
      </w:r>
      <w:r>
        <w:rPr>
          <w:color w:val="231F20"/>
        </w:rPr>
        <w:t>immediately. Please do not send any payments direct to the Council in respect of the debt which the enforcement agents are dealing with.</w:t>
      </w:r>
    </w:p>
    <w:p>
      <w:pPr>
        <w:pStyle w:val="BodyText"/>
        <w:spacing w:line="249" w:lineRule="auto" w:before="62"/>
        <w:ind w:left="135"/>
      </w:pPr>
      <w:r>
        <w:rPr>
          <w:color w:val="231F20"/>
        </w:rPr>
        <w:t>If you're not able to pay the outstanding debt in full, the enforcement agents may agree to let you pay by instalments. </w:t>
      </w:r>
      <w:r>
        <w:rPr>
          <w:color w:val="231F20"/>
          <w:spacing w:val="-3"/>
        </w:rPr>
        <w:t>However, </w:t>
      </w:r>
      <w:r>
        <w:rPr>
          <w:color w:val="231F20"/>
        </w:rPr>
        <w:t>this will be entirely at</w:t>
      </w:r>
      <w:r>
        <w:rPr>
          <w:color w:val="231F20"/>
          <w:spacing w:val="52"/>
        </w:rPr>
        <w:t> </w:t>
      </w:r>
      <w:r>
        <w:rPr>
          <w:color w:val="231F20"/>
        </w:rPr>
        <w:t>the</w:t>
      </w:r>
    </w:p>
    <w:p>
      <w:pPr>
        <w:pStyle w:val="BodyText"/>
        <w:spacing w:line="252" w:lineRule="auto" w:before="72"/>
        <w:ind w:left="135" w:right="168"/>
      </w:pPr>
      <w:r>
        <w:rPr/>
        <w:br w:type="column"/>
      </w:r>
      <w:r>
        <w:rPr>
          <w:color w:val="231F20"/>
        </w:rPr>
        <w:t>enforcement agents’ discretion. If the enforcement agents do agree to let you  pay by instalments, they will usually want to enter into a “controlled goods agreement”, previously known as "walking possession". This means that they will legally take possession of your goods, but they will not remove them from your property as long as you make all the</w:t>
      </w:r>
      <w:r>
        <w:rPr>
          <w:color w:val="231F20"/>
          <w:spacing w:val="2"/>
        </w:rPr>
        <w:t> </w:t>
      </w:r>
      <w:r>
        <w:rPr>
          <w:color w:val="231F20"/>
        </w:rPr>
        <w:t>payments.</w:t>
      </w:r>
    </w:p>
    <w:p>
      <w:pPr>
        <w:pStyle w:val="BodyText"/>
        <w:spacing w:before="7"/>
        <w:rPr>
          <w:sz w:val="24"/>
        </w:rPr>
      </w:pPr>
    </w:p>
    <w:p>
      <w:pPr>
        <w:pStyle w:val="Heading1"/>
        <w:spacing w:line="249" w:lineRule="auto"/>
        <w:ind w:right="168"/>
      </w:pPr>
      <w:r>
        <w:rPr>
          <w:color w:val="231F20"/>
          <w:spacing w:val="-4"/>
        </w:rPr>
        <w:t>What</w:t>
      </w:r>
      <w:r>
        <w:rPr>
          <w:color w:val="231F20"/>
          <w:spacing w:val="-16"/>
        </w:rPr>
        <w:t> </w:t>
      </w:r>
      <w:r>
        <w:rPr>
          <w:color w:val="231F20"/>
          <w:spacing w:val="-5"/>
        </w:rPr>
        <w:t>happens</w:t>
      </w:r>
      <w:r>
        <w:rPr>
          <w:color w:val="231F20"/>
          <w:spacing w:val="-16"/>
        </w:rPr>
        <w:t> </w:t>
      </w:r>
      <w:r>
        <w:rPr>
          <w:color w:val="231F20"/>
          <w:spacing w:val="-3"/>
        </w:rPr>
        <w:t>if</w:t>
      </w:r>
      <w:r>
        <w:rPr>
          <w:color w:val="231F20"/>
          <w:spacing w:val="-16"/>
        </w:rPr>
        <w:t> </w:t>
      </w:r>
      <w:r>
        <w:rPr>
          <w:color w:val="231F20"/>
        </w:rPr>
        <w:t>I</w:t>
      </w:r>
      <w:r>
        <w:rPr>
          <w:color w:val="231F20"/>
          <w:spacing w:val="-16"/>
        </w:rPr>
        <w:t> </w:t>
      </w:r>
      <w:r>
        <w:rPr>
          <w:color w:val="231F20"/>
          <w:spacing w:val="-4"/>
        </w:rPr>
        <w:t>can't</w:t>
      </w:r>
      <w:r>
        <w:rPr>
          <w:color w:val="231F20"/>
          <w:spacing w:val="-15"/>
        </w:rPr>
        <w:t> </w:t>
      </w:r>
      <w:r>
        <w:rPr>
          <w:color w:val="231F20"/>
          <w:spacing w:val="-5"/>
        </w:rPr>
        <w:t>afford</w:t>
      </w:r>
      <w:r>
        <w:rPr>
          <w:color w:val="231F20"/>
          <w:spacing w:val="-16"/>
        </w:rPr>
        <w:t> </w:t>
      </w:r>
      <w:r>
        <w:rPr>
          <w:color w:val="231F20"/>
          <w:spacing w:val="-3"/>
        </w:rPr>
        <w:t>to</w:t>
      </w:r>
      <w:r>
        <w:rPr>
          <w:color w:val="231F20"/>
          <w:spacing w:val="-16"/>
        </w:rPr>
        <w:t> </w:t>
      </w:r>
      <w:r>
        <w:rPr>
          <w:color w:val="231F20"/>
          <w:spacing w:val="-4"/>
        </w:rPr>
        <w:t>pay</w:t>
      </w:r>
      <w:r>
        <w:rPr>
          <w:color w:val="231F20"/>
          <w:spacing w:val="-16"/>
        </w:rPr>
        <w:t> </w:t>
      </w:r>
      <w:r>
        <w:rPr>
          <w:color w:val="231F20"/>
          <w:spacing w:val="-4"/>
        </w:rPr>
        <w:t>the</w:t>
      </w:r>
      <w:r>
        <w:rPr>
          <w:color w:val="231F20"/>
          <w:spacing w:val="-15"/>
        </w:rPr>
        <w:t> </w:t>
      </w:r>
      <w:r>
        <w:rPr>
          <w:color w:val="231F20"/>
        </w:rPr>
        <w:t>enforcement</w:t>
      </w:r>
      <w:r>
        <w:rPr>
          <w:color w:val="231F20"/>
          <w:spacing w:val="-7"/>
        </w:rPr>
        <w:t> </w:t>
      </w:r>
      <w:r>
        <w:rPr>
          <w:color w:val="231F20"/>
        </w:rPr>
        <w:t>agents,</w:t>
      </w:r>
      <w:r>
        <w:rPr>
          <w:color w:val="231F20"/>
          <w:spacing w:val="-15"/>
        </w:rPr>
        <w:t> </w:t>
      </w:r>
      <w:r>
        <w:rPr>
          <w:color w:val="231F20"/>
          <w:spacing w:val="-4"/>
        </w:rPr>
        <w:t>and</w:t>
      </w:r>
      <w:r>
        <w:rPr>
          <w:color w:val="231F20"/>
          <w:spacing w:val="-16"/>
        </w:rPr>
        <w:t> </w:t>
      </w:r>
      <w:r>
        <w:rPr>
          <w:color w:val="231F20"/>
        </w:rPr>
        <w:t>I </w:t>
      </w:r>
      <w:r>
        <w:rPr>
          <w:color w:val="231F20"/>
          <w:spacing w:val="-4"/>
        </w:rPr>
        <w:t>don't have many </w:t>
      </w:r>
      <w:r>
        <w:rPr>
          <w:color w:val="231F20"/>
          <w:spacing w:val="-5"/>
        </w:rPr>
        <w:t>possessions</w:t>
      </w:r>
      <w:r>
        <w:rPr>
          <w:color w:val="231F20"/>
          <w:spacing w:val="-24"/>
        </w:rPr>
        <w:t> </w:t>
      </w:r>
      <w:r>
        <w:rPr>
          <w:color w:val="231F20"/>
          <w:spacing w:val="-5"/>
        </w:rPr>
        <w:t>either?</w:t>
      </w:r>
    </w:p>
    <w:p>
      <w:pPr>
        <w:pStyle w:val="BodyText"/>
        <w:spacing w:line="252" w:lineRule="auto" w:before="64"/>
        <w:ind w:left="135" w:right="286"/>
      </w:pPr>
      <w:r>
        <w:rPr>
          <w:color w:val="231F20"/>
        </w:rPr>
        <w:t>If the enforcement agents decide that it is impossible to recover the outstanding debt from you, they will return your case to us. We may then take your case  back to court. The court will decide whether you have deliberately failed to pay your council tax, or if you have been neglectful. If so, the Court may send you to prison for 3</w:t>
      </w:r>
      <w:r>
        <w:rPr>
          <w:color w:val="231F20"/>
          <w:spacing w:val="32"/>
        </w:rPr>
        <w:t> </w:t>
      </w:r>
      <w:r>
        <w:rPr>
          <w:color w:val="231F20"/>
        </w:rPr>
        <w:t>months.</w:t>
      </w:r>
    </w:p>
    <w:p>
      <w:pPr>
        <w:pStyle w:val="BodyText"/>
        <w:spacing w:before="5"/>
        <w:rPr>
          <w:sz w:val="24"/>
        </w:rPr>
      </w:pPr>
    </w:p>
    <w:p>
      <w:pPr>
        <w:pStyle w:val="Heading1"/>
      </w:pPr>
      <w:r>
        <w:rPr>
          <w:color w:val="231F20"/>
        </w:rPr>
        <w:t>What should I do if I have any queries?</w:t>
      </w:r>
    </w:p>
    <w:p>
      <w:pPr>
        <w:pStyle w:val="BodyText"/>
        <w:spacing w:line="249" w:lineRule="auto" w:before="74"/>
        <w:ind w:left="135" w:right="168"/>
      </w:pPr>
      <w:r>
        <w:rPr>
          <w:color w:val="231F20"/>
        </w:rPr>
        <w:t>If you have any queries about the Council Tax itself (for example, if you think that the amount in question has already been paid, or has been calculated wrongly), you should contact us (details on the front of this leaflet).</w:t>
      </w:r>
    </w:p>
    <w:p>
      <w:pPr>
        <w:pStyle w:val="BodyText"/>
        <w:spacing w:line="256" w:lineRule="auto" w:before="60"/>
        <w:ind w:left="135" w:right="170"/>
      </w:pPr>
      <w:r>
        <w:rPr>
          <w:color w:val="231F20"/>
        </w:rPr>
        <w:t>If you wish to discuss payment, or have any queries about the action  being  taken</w:t>
      </w:r>
      <w:r>
        <w:rPr>
          <w:color w:val="231F20"/>
          <w:spacing w:val="10"/>
        </w:rPr>
        <w:t> </w:t>
      </w:r>
      <w:r>
        <w:rPr>
          <w:color w:val="231F20"/>
        </w:rPr>
        <w:t>by</w:t>
      </w:r>
      <w:r>
        <w:rPr>
          <w:color w:val="231F20"/>
          <w:spacing w:val="10"/>
        </w:rPr>
        <w:t> </w:t>
      </w:r>
      <w:r>
        <w:rPr>
          <w:color w:val="231F20"/>
        </w:rPr>
        <w:t>the</w:t>
      </w:r>
      <w:r>
        <w:rPr>
          <w:color w:val="231F20"/>
          <w:spacing w:val="11"/>
        </w:rPr>
        <w:t> </w:t>
      </w:r>
      <w:r>
        <w:rPr>
          <w:color w:val="231F20"/>
        </w:rPr>
        <w:t>enforcement</w:t>
      </w:r>
      <w:r>
        <w:rPr>
          <w:color w:val="231F20"/>
          <w:spacing w:val="10"/>
        </w:rPr>
        <w:t> </w:t>
      </w:r>
      <w:r>
        <w:rPr>
          <w:color w:val="231F20"/>
        </w:rPr>
        <w:t>agents,</w:t>
      </w:r>
      <w:r>
        <w:rPr>
          <w:color w:val="231F20"/>
          <w:spacing w:val="10"/>
        </w:rPr>
        <w:t> </w:t>
      </w:r>
      <w:r>
        <w:rPr>
          <w:color w:val="231F20"/>
        </w:rPr>
        <w:t>please</w:t>
      </w:r>
      <w:r>
        <w:rPr>
          <w:color w:val="231F20"/>
          <w:spacing w:val="10"/>
        </w:rPr>
        <w:t> </w:t>
      </w:r>
      <w:r>
        <w:rPr>
          <w:color w:val="231F20"/>
        </w:rPr>
        <w:t>contact</w:t>
      </w:r>
      <w:r>
        <w:rPr>
          <w:color w:val="231F20"/>
          <w:spacing w:val="11"/>
        </w:rPr>
        <w:t> </w:t>
      </w:r>
      <w:r>
        <w:rPr>
          <w:color w:val="231F20"/>
        </w:rPr>
        <w:t>the</w:t>
      </w:r>
      <w:r>
        <w:rPr>
          <w:color w:val="231F20"/>
          <w:spacing w:val="11"/>
        </w:rPr>
        <w:t> </w:t>
      </w:r>
      <w:r>
        <w:rPr>
          <w:color w:val="231F20"/>
        </w:rPr>
        <w:t>enforcement</w:t>
      </w:r>
      <w:r>
        <w:rPr>
          <w:color w:val="231F20"/>
          <w:spacing w:val="9"/>
        </w:rPr>
        <w:t> </w:t>
      </w:r>
      <w:r>
        <w:rPr>
          <w:color w:val="231F20"/>
        </w:rPr>
        <w:t>agents</w:t>
      </w:r>
      <w:r>
        <w:rPr>
          <w:color w:val="231F20"/>
          <w:spacing w:val="10"/>
        </w:rPr>
        <w:t> </w:t>
      </w:r>
      <w:r>
        <w:rPr>
          <w:color w:val="231F20"/>
        </w:rPr>
        <w:t>direct.</w:t>
      </w:r>
    </w:p>
    <w:p>
      <w:pPr>
        <w:pStyle w:val="BodyText"/>
        <w:spacing w:before="2"/>
        <w:rPr>
          <w:sz w:val="24"/>
        </w:rPr>
      </w:pPr>
    </w:p>
    <w:p>
      <w:pPr>
        <w:pStyle w:val="Heading1"/>
        <w:spacing w:line="249" w:lineRule="auto"/>
        <w:ind w:right="777"/>
      </w:pPr>
      <w:r>
        <w:rPr>
          <w:color w:val="231F20"/>
        </w:rPr>
        <w:t>What should I do if I have a complaint about the enforcement agents?</w:t>
      </w:r>
    </w:p>
    <w:p>
      <w:pPr>
        <w:pStyle w:val="BodyText"/>
        <w:spacing w:line="249" w:lineRule="auto" w:before="64"/>
        <w:ind w:left="135" w:right="305"/>
      </w:pPr>
      <w:r>
        <w:rPr>
          <w:color w:val="231F20"/>
        </w:rPr>
        <w:t>The enforcement agents are working on our behalf, so we are keen to make sure that they are acting correctly and providing a satisfactory standard of service.</w:t>
      </w:r>
    </w:p>
    <w:p>
      <w:pPr>
        <w:pStyle w:val="BodyText"/>
        <w:spacing w:line="249" w:lineRule="auto" w:before="115"/>
        <w:ind w:left="135" w:right="168"/>
      </w:pPr>
      <w:r>
        <w:rPr>
          <w:color w:val="231F20"/>
        </w:rPr>
        <w:t>For this reason, we have a code of conduct for enforcement agents. If you would like a copy, phone us on (01732) 876388.</w:t>
      </w:r>
    </w:p>
    <w:p>
      <w:pPr>
        <w:pStyle w:val="BodyText"/>
        <w:spacing w:line="252" w:lineRule="auto" w:before="115"/>
        <w:ind w:left="135" w:right="168"/>
      </w:pPr>
      <w:r>
        <w:rPr>
          <w:color w:val="231F20"/>
        </w:rPr>
        <w:t>If you have any complaints about the conduct or behaviour of the enforcement agents, please put your complaint in writing to the enforcement agents in the first instance. However, if you are still not satisfied with the enforcement agents response, please write to us at the address shown on the front of this leaflet.</w:t>
      </w:r>
    </w:p>
    <w:p>
      <w:pPr>
        <w:pStyle w:val="BodyText"/>
        <w:spacing w:before="9"/>
        <w:rPr>
          <w:sz w:val="24"/>
        </w:rPr>
      </w:pPr>
    </w:p>
    <w:p>
      <w:pPr>
        <w:pStyle w:val="Heading1"/>
      </w:pPr>
      <w:r>
        <w:rPr>
          <w:color w:val="231F20"/>
        </w:rPr>
        <w:t>What are my legal rights?</w:t>
      </w:r>
    </w:p>
    <w:p>
      <w:pPr>
        <w:pStyle w:val="BodyText"/>
        <w:spacing w:line="249" w:lineRule="auto" w:before="71"/>
        <w:ind w:left="135" w:right="286"/>
      </w:pPr>
      <w:r>
        <w:rPr>
          <w:color w:val="231F20"/>
        </w:rPr>
        <w:t>If you are unsure about your legal rights with regard to enforcement agents, you should seek professional legal advice. Alternatively, you should contact your local Citizens' Advice Bureau.</w:t>
      </w:r>
    </w:p>
    <w:sectPr>
      <w:pgSz w:w="16840" w:h="11900" w:orient="landscape"/>
      <w:pgMar w:top="460" w:bottom="280" w:left="280" w:right="280"/>
      <w:cols w:num="2" w:equalWidth="0">
        <w:col w:w="7781" w:space="619"/>
        <w:col w:w="788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135"/>
      <w:outlineLvl w:val="1"/>
    </w:pPr>
    <w:rPr>
      <w:rFonts w:ascii="Arial" w:hAnsi="Arial" w:eastAsia="Arial" w:cs="Arial"/>
      <w:b/>
      <w:bCs/>
      <w:sz w:val="24"/>
      <w:szCs w:val="24"/>
    </w:rPr>
  </w:style>
  <w:style w:styleId="Title" w:type="paragraph">
    <w:name w:val="Title"/>
    <w:basedOn w:val="Normal"/>
    <w:uiPriority w:val="1"/>
    <w:qFormat/>
    <w:pPr>
      <w:ind w:left="144" w:right="1630"/>
      <w:jc w:val="center"/>
    </w:pPr>
    <w:rPr>
      <w:rFonts w:ascii="Arial" w:hAnsi="Arial" w:eastAsia="Arial" w:cs="Arial"/>
      <w:b/>
      <w:bCs/>
      <w:sz w:val="36"/>
      <w:szCs w:val="36"/>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2"/>
      <w:ind w:left="598"/>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evenues@tmbc.gov.uk" TargetMode="Externa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jwccs</dc:creator>
  <dc:subject>ABEA 2014</dc:subject>
  <dc:title>ABEA 2014</dc:title>
  <dcterms:created xsi:type="dcterms:W3CDTF">2020-11-04T10:35:54Z</dcterms:created>
  <dcterms:modified xsi:type="dcterms:W3CDTF">2020-11-04T10:35:54Z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2014-03-20T00:00:00Z</vt:filetime>
  </property>
  <property fmtid="{D5CDD505-2E9C-101B-9397-08002B2CF9AE}" pid="3" name="Creator">
    <vt:lpwstr>Adobe PageMaker 7.0</vt:lpwstr>
  </property>
  <property fmtid="{D5CDD505-2E9C-101B-9397-08002B2CF9AE}" pid="4" name="LastSaved">
    <vt:filetime>2020-11-04T00:00:00Z</vt:filetime>
  </property>
</Properties>
</file>