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7"/>
        </w:rPr>
      </w:pPr>
    </w:p>
    <w:p>
      <w:pPr>
        <w:pStyle w:val="BodyText"/>
        <w:spacing w:before="64"/>
        <w:ind w:left="155"/>
      </w:pPr>
      <w:r>
        <w:rPr/>
        <w:t>Tonbridge &amp; Malling Borough Council - Council Tax Set for the year starting 1 April 2017</w:t>
      </w:r>
    </w:p>
    <w:p>
      <w:pPr>
        <w:spacing w:line="240" w:lineRule="auto" w:before="5" w:after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313"/>
        <w:gridCol w:w="1313"/>
        <w:gridCol w:w="1313"/>
        <w:gridCol w:w="1313"/>
        <w:gridCol w:w="1313"/>
        <w:gridCol w:w="1313"/>
        <w:gridCol w:w="1313"/>
        <w:gridCol w:w="1313"/>
      </w:tblGrid>
      <w:tr>
        <w:trPr>
          <w:trHeight w:val="243" w:hRule="atLeast"/>
        </w:trPr>
        <w:tc>
          <w:tcPr>
            <w:tcW w:w="2448" w:type="dxa"/>
            <w:vMerge w:val="restart"/>
          </w:tcPr>
          <w:p>
            <w:pPr>
              <w:pStyle w:val="TableParagraph"/>
              <w:spacing w:line="250" w:lineRule="atLeast" w:before="9"/>
              <w:ind w:left="35" w:right="4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 of the Council's Area</w:t>
            </w:r>
          </w:p>
        </w:tc>
        <w:tc>
          <w:tcPr>
            <w:tcW w:w="10504" w:type="dxa"/>
            <w:gridSpan w:val="8"/>
          </w:tcPr>
          <w:p>
            <w:pPr>
              <w:pStyle w:val="TableParagraph"/>
              <w:spacing w:line="224" w:lineRule="exact"/>
              <w:ind w:left="4452" w:right="4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Valuation Bands</w:t>
            </w:r>
          </w:p>
        </w:tc>
      </w:tr>
      <w:tr>
        <w:trPr>
          <w:trHeight w:val="296" w:hRule="atLeast"/>
        </w:trPr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27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4"/>
              <w:ind w:left="32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B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31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4"/>
              <w:ind w:left="17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29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E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4"/>
              <w:ind w:left="32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F2DCDB"/>
          </w:tcPr>
          <w:p>
            <w:pPr>
              <w:pStyle w:val="TableParagraph"/>
              <w:spacing w:line="240" w:lineRule="auto" w:before="34"/>
              <w:ind w:left="31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G</w:t>
            </w:r>
          </w:p>
        </w:tc>
        <w:tc>
          <w:tcPr>
            <w:tcW w:w="1313" w:type="dxa"/>
            <w:tcBorders>
              <w:left w:val="nil"/>
            </w:tcBorders>
          </w:tcPr>
          <w:p>
            <w:pPr>
              <w:pStyle w:val="TableParagraph"/>
              <w:spacing w:line="240" w:lineRule="auto" w:before="34"/>
              <w:ind w:left="39" w:right="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H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Tonbridge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1,094.26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1,276.63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1,459.01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1,641.38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2,006.13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2,370.88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2,735.64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3,282.76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Addington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1,103.30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1,287.18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1,471.06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1,654.94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2,022.70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2,390.46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2,758.24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3,309.88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Aylesford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1,098.39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1,281.45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1,464.52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1,647.58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2,013.71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2,379.83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2,745.97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3,295.16</w:t>
            </w:r>
          </w:p>
        </w:tc>
      </w:tr>
      <w:tr>
        <w:trPr>
          <w:trHeight w:val="243" w:hRule="atLeast"/>
        </w:trPr>
        <w:tc>
          <w:tcPr>
            <w:tcW w:w="2448" w:type="dxa"/>
          </w:tcPr>
          <w:p>
            <w:pPr>
              <w:pStyle w:val="TableParagraph"/>
              <w:spacing w:line="219" w:lineRule="exact" w:before="5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Birling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1,095.16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1,277.69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1,460.21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1,642.74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2,007.79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1"/>
              <w:rPr>
                <w:sz w:val="22"/>
              </w:rPr>
            </w:pPr>
            <w:r>
              <w:rPr>
                <w:sz w:val="22"/>
              </w:rPr>
              <w:t>2,372.84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2,737.90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3,285.48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Borough Green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1,129.26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1,317.46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1,505.67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1,693.88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2,070.30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2,446.71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2,823.14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3,387.76</w:t>
            </w:r>
          </w:p>
        </w:tc>
      </w:tr>
      <w:tr>
        <w:trPr>
          <w:trHeight w:val="243" w:hRule="atLeast"/>
        </w:trPr>
        <w:tc>
          <w:tcPr>
            <w:tcW w:w="2448" w:type="dxa"/>
          </w:tcPr>
          <w:p>
            <w:pPr>
              <w:pStyle w:val="TableParagraph"/>
              <w:spacing w:line="219" w:lineRule="exact" w:before="5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Burham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1,097.75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1,280.71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1,463.66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1,646.62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2,012.53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1"/>
              <w:rPr>
                <w:sz w:val="22"/>
              </w:rPr>
            </w:pPr>
            <w:r>
              <w:rPr>
                <w:sz w:val="22"/>
              </w:rPr>
              <w:t>2,378.45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2,744.37</w:t>
            </w:r>
          </w:p>
        </w:tc>
        <w:tc>
          <w:tcPr>
            <w:tcW w:w="1313" w:type="dxa"/>
          </w:tcPr>
          <w:p>
            <w:pPr>
              <w:pStyle w:val="TableParagraph"/>
              <w:spacing w:line="224" w:lineRule="exact"/>
              <w:ind w:right="20"/>
              <w:rPr>
                <w:sz w:val="22"/>
              </w:rPr>
            </w:pPr>
            <w:r>
              <w:rPr>
                <w:sz w:val="22"/>
              </w:rPr>
              <w:t>3,293.24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Ditton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1,161.15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1,354.67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1,548.20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1,741.72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2,128.77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2,515.81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2,902.87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3,483.44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East Malling &amp; Larkfield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1,102.31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1,286.03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1,469.74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1,653.46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2,020.89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2,388.33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2,755.77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3,306.92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East Peckham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1,133.86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1,322.84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1,511.81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1,700.79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2,078.74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2,456.69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2,834.65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3,401.58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Hadlow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1,109.78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1,294.74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1,479.70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1,664.66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2,034.58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2,404.50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2,774.44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3,329.32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Hildenborough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1,080.88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1,261.03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1,441.17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1,621.32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1,981.61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2,341.90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2,702.20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3,242.64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Ightham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1,131.91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1,320.56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1,509.21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1,697.86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2,075.16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2,452.46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2,829.77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3,395.72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Kings Hill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1,108.28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1,293.00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1,477.71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1,662.42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2,031.84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2,401.27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2,770.70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3,324.84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Leybourne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1,127.74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1,315.69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1,503.65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1,691.60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2,067.51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2,443.42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2,819.34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3,383.20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Mereworth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1,103.37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1,287.26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1,471.16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1,655.05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2,022.84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2,390.62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2,758.42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3,310.10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Offham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1,097.10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1,279.94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1,462.79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1,645.64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2,011.34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2,377.03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2,742.74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3,291.28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Platt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1,114.42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1,300.16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1,485.89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1,671.63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2,043.10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2,414.57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2,786.05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3,343.26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6" w:lineRule="exact" w:before="1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Plaxtol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1,104.26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1,288.30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1,472.34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1,656.38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2,024.46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2,392.54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2,760.64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3,312.76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Ryarsh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1,101.20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1,284.73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1,468.26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1,651.79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2,018.85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2,385.91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2,752.99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3,303.58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Shipbourne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1,087.62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1,268.88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1,450.15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1,631.42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1,993.96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2,356.49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2,719.04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3,262.84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Snodland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1,118.18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1,304.55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1,490.91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1,677.27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2,049.99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2,422.72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2,795.45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3,354.54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Stansted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1,118.05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1,304.39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1,490.73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1,677.07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2,049.75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2,422.43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2,795.12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3,354.14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Trottiscliffe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1,101.85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1,285.49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1,469.13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1,652.77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2,020.05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2,387.33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2,754.62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3,305.54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Wateringbury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1,120.60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1,307.36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1,494.13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1,680.89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2,054.42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2,427.95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2,801.49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3,361.78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West Malling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1,131.95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1,320.61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1,509.26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1,697.92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2,075.23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2,452.55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2,829.87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3,395.84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West Peckham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1,081.04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1,261.22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1,441.39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1,621.56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1,981.90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2,342.25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2,702.60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3,243.12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Wouldham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1,109.52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1,294.43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1,479.35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1,664.27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2,034.11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2,403.94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2,773.79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3,328.54</w:t>
            </w:r>
          </w:p>
        </w:tc>
      </w:tr>
      <w:tr>
        <w:trPr>
          <w:trHeight w:val="255" w:hRule="atLeast"/>
        </w:trPr>
        <w:tc>
          <w:tcPr>
            <w:tcW w:w="2448" w:type="dxa"/>
          </w:tcPr>
          <w:p>
            <w:pPr>
              <w:pStyle w:val="TableParagraph"/>
              <w:spacing w:line="224" w:lineRule="exact" w:before="12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Wrotham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1,125.16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1,312.68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1,500.21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1,687.73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2,062.78</w:t>
            </w:r>
          </w:p>
        </w:tc>
        <w:tc>
          <w:tcPr>
            <w:tcW w:w="1313" w:type="dxa"/>
          </w:tcPr>
          <w:p>
            <w:pPr>
              <w:pStyle w:val="TableParagraph"/>
              <w:ind w:right="21"/>
              <w:rPr>
                <w:sz w:val="22"/>
              </w:rPr>
            </w:pPr>
            <w:r>
              <w:rPr>
                <w:sz w:val="22"/>
              </w:rPr>
              <w:t>2,437.83</w:t>
            </w:r>
          </w:p>
        </w:tc>
        <w:tc>
          <w:tcPr>
            <w:tcW w:w="1313" w:type="dxa"/>
            <w:shd w:val="clear" w:color="auto" w:fill="F2DCDB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2,812.89</w:t>
            </w:r>
          </w:p>
        </w:tc>
        <w:tc>
          <w:tcPr>
            <w:tcW w:w="1313" w:type="dxa"/>
          </w:tcPr>
          <w:p>
            <w:pPr>
              <w:pStyle w:val="TableParagraph"/>
              <w:ind w:right="20"/>
              <w:rPr>
                <w:sz w:val="22"/>
              </w:rPr>
            </w:pPr>
            <w:r>
              <w:rPr>
                <w:sz w:val="22"/>
              </w:rPr>
              <w:t>3,375.46</w:t>
            </w:r>
          </w:p>
        </w:tc>
      </w:tr>
    </w:tbl>
    <w:sectPr>
      <w:type w:val="continuous"/>
      <w:pgSz w:w="15840" w:h="12240" w:orient="landscape"/>
      <w:pgMar w:top="1140" w:bottom="280" w:left="90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36" w:lineRule="exact"/>
      <w:ind w:right="19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kofs</dc:creator>
  <dc:title>CT Charges 2017</dc:title>
  <dcterms:created xsi:type="dcterms:W3CDTF">2020-11-23T15:16:58Z</dcterms:created>
  <dcterms:modified xsi:type="dcterms:W3CDTF">2020-11-23T15:16:58Z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2020-11-23T00:00:00Z</vt:filetime>
  </property>
</Properties>
</file>